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95CDD" w14:textId="67D71166" w:rsidR="007055B1" w:rsidRDefault="2623F459" w:rsidP="1CD91D82">
      <w:pPr>
        <w:rPr>
          <w:rFonts w:eastAsiaTheme="minorEastAsia"/>
          <w:b/>
          <w:bCs/>
          <w:sz w:val="24"/>
          <w:szCs w:val="24"/>
        </w:rPr>
      </w:pPr>
      <w:r w:rsidRPr="1CD91D82">
        <w:rPr>
          <w:rFonts w:eastAsiaTheme="minorEastAsia"/>
          <w:b/>
          <w:bCs/>
          <w:sz w:val="24"/>
          <w:szCs w:val="24"/>
        </w:rPr>
        <w:t>Fifteenth-Century Conference Winchester 31 August – 2 September 2023</w:t>
      </w:r>
    </w:p>
    <w:p w14:paraId="27DF653B" w14:textId="2F835EA6" w:rsidR="161DBF51" w:rsidRDefault="161DBF51" w:rsidP="1C79AD7C">
      <w:pPr>
        <w:rPr>
          <w:rFonts w:eastAsiaTheme="minorEastAsia"/>
          <w:b/>
          <w:bCs/>
        </w:rPr>
      </w:pPr>
      <w:r w:rsidRPr="1C79AD7C">
        <w:rPr>
          <w:rFonts w:eastAsiaTheme="minorEastAsia"/>
          <w:b/>
          <w:bCs/>
        </w:rPr>
        <w:t>Thursday 31 August</w:t>
      </w:r>
    </w:p>
    <w:p w14:paraId="319BFE9E" w14:textId="7787ECCC" w:rsidR="161DBF51" w:rsidRPr="00A43123" w:rsidRDefault="161DBF51" w:rsidP="1C79AD7C">
      <w:pPr>
        <w:rPr>
          <w:rFonts w:eastAsiaTheme="minorEastAsia"/>
        </w:rPr>
      </w:pPr>
      <w:r w:rsidRPr="1C79AD7C">
        <w:rPr>
          <w:rFonts w:eastAsiaTheme="minorEastAsia"/>
          <w:b/>
          <w:bCs/>
        </w:rPr>
        <w:t>Session 1, 13.00-14.</w:t>
      </w:r>
      <w:r w:rsidR="005A1600">
        <w:rPr>
          <w:rFonts w:eastAsiaTheme="minorEastAsia"/>
          <w:b/>
          <w:bCs/>
        </w:rPr>
        <w:t>00</w:t>
      </w:r>
      <w:r w:rsidR="00A43123">
        <w:rPr>
          <w:rFonts w:eastAsiaTheme="minorEastAsia"/>
          <w:b/>
          <w:bCs/>
        </w:rPr>
        <w:t xml:space="preserve"> </w:t>
      </w:r>
    </w:p>
    <w:p w14:paraId="6606D5C3" w14:textId="515FCCFD" w:rsidR="161DBF51" w:rsidRDefault="161DBF51" w:rsidP="1C79AD7C">
      <w:pPr>
        <w:rPr>
          <w:rFonts w:eastAsiaTheme="minorEastAsia"/>
        </w:rPr>
      </w:pPr>
      <w:r w:rsidRPr="1C79AD7C">
        <w:rPr>
          <w:rFonts w:eastAsiaTheme="minorEastAsia"/>
        </w:rPr>
        <w:t>Welcome</w:t>
      </w:r>
    </w:p>
    <w:p w14:paraId="7A9524C2" w14:textId="6DAD6984" w:rsidR="007055B1" w:rsidRDefault="161DBF51" w:rsidP="1C79AD7C">
      <w:pPr>
        <w:spacing w:after="0" w:line="240" w:lineRule="auto"/>
        <w:rPr>
          <w:rFonts w:eastAsiaTheme="minorEastAsia"/>
          <w:color w:val="000000" w:themeColor="text1"/>
        </w:rPr>
      </w:pPr>
      <w:r w:rsidRPr="1CD91D82">
        <w:rPr>
          <w:rFonts w:eastAsiaTheme="minorEastAsia"/>
        </w:rPr>
        <w:t xml:space="preserve">Prof. </w:t>
      </w:r>
      <w:r w:rsidR="007055B1" w:rsidRPr="1CD91D82">
        <w:rPr>
          <w:rFonts w:eastAsiaTheme="minorEastAsia"/>
        </w:rPr>
        <w:t>Anne Curry (Southampton)</w:t>
      </w:r>
      <w:r w:rsidR="4879A9DC" w:rsidRPr="1CD91D82">
        <w:rPr>
          <w:rFonts w:eastAsiaTheme="minorEastAsia"/>
        </w:rPr>
        <w:t>, “</w:t>
      </w:r>
      <w:r w:rsidR="007055B1" w:rsidRPr="1CD91D82">
        <w:rPr>
          <w:rFonts w:eastAsiaTheme="minorEastAsia"/>
          <w:color w:val="000000" w:themeColor="text1"/>
        </w:rPr>
        <w:t xml:space="preserve">When the king heard of the death of the duke of Clarence, and of the others killed and captured in his company, he praised God, and thanked Him for his visitation of that affliction, just as he had praised and thanked Him for his earlier successes’. The battle of </w:t>
      </w:r>
      <w:proofErr w:type="spellStart"/>
      <w:r w:rsidR="007055B1" w:rsidRPr="1CD91D82">
        <w:rPr>
          <w:rFonts w:eastAsiaTheme="minorEastAsia"/>
          <w:color w:val="000000" w:themeColor="text1"/>
        </w:rPr>
        <w:t>Baugé</w:t>
      </w:r>
      <w:proofErr w:type="spellEnd"/>
      <w:r w:rsidR="007055B1" w:rsidRPr="1CD91D82">
        <w:rPr>
          <w:rFonts w:eastAsiaTheme="minorEastAsia"/>
          <w:color w:val="000000" w:themeColor="text1"/>
        </w:rPr>
        <w:t xml:space="preserve"> and Henry V’s last great army.</w:t>
      </w:r>
      <w:r w:rsidR="7234BABD" w:rsidRPr="1CD91D82">
        <w:rPr>
          <w:rFonts w:eastAsiaTheme="minorEastAsia"/>
          <w:color w:val="000000" w:themeColor="text1"/>
        </w:rPr>
        <w:t>’</w:t>
      </w:r>
    </w:p>
    <w:p w14:paraId="4E683CA2" w14:textId="7C4C44C3" w:rsidR="1C79AD7C" w:rsidRDefault="1C79AD7C" w:rsidP="1C79AD7C">
      <w:pPr>
        <w:spacing w:after="0" w:line="240" w:lineRule="auto"/>
        <w:rPr>
          <w:rFonts w:eastAsiaTheme="minorEastAsia"/>
          <w:color w:val="000000" w:themeColor="text1"/>
        </w:rPr>
      </w:pPr>
    </w:p>
    <w:p w14:paraId="1DF914EC" w14:textId="3016F468" w:rsidR="00436282" w:rsidRDefault="51D74A78" w:rsidP="1C79AD7C">
      <w:pPr>
        <w:spacing w:after="0" w:line="240" w:lineRule="auto"/>
        <w:rPr>
          <w:rFonts w:eastAsiaTheme="minorEastAsia"/>
          <w:b/>
          <w:bCs/>
          <w:color w:val="000000" w:themeColor="text1"/>
        </w:rPr>
      </w:pPr>
      <w:r w:rsidRPr="1C79AD7C">
        <w:rPr>
          <w:rFonts w:eastAsiaTheme="minorEastAsia"/>
          <w:b/>
          <w:bCs/>
          <w:color w:val="000000" w:themeColor="text1"/>
        </w:rPr>
        <w:t>Session 2 – 1</w:t>
      </w:r>
      <w:r w:rsidR="005A1600">
        <w:rPr>
          <w:rFonts w:eastAsiaTheme="minorEastAsia"/>
          <w:b/>
          <w:bCs/>
          <w:color w:val="000000" w:themeColor="text1"/>
        </w:rPr>
        <w:t>4.1</w:t>
      </w:r>
      <w:r w:rsidRPr="1C79AD7C">
        <w:rPr>
          <w:rFonts w:eastAsiaTheme="minorEastAsia"/>
          <w:b/>
          <w:bCs/>
          <w:color w:val="000000" w:themeColor="text1"/>
        </w:rPr>
        <w:t>5-1</w:t>
      </w:r>
      <w:r w:rsidR="005A1600">
        <w:rPr>
          <w:rFonts w:eastAsiaTheme="minorEastAsia"/>
          <w:b/>
          <w:bCs/>
          <w:color w:val="000000" w:themeColor="text1"/>
        </w:rPr>
        <w:t>5</w:t>
      </w:r>
      <w:r w:rsidRPr="1C79AD7C">
        <w:rPr>
          <w:rFonts w:eastAsiaTheme="minorEastAsia"/>
          <w:b/>
          <w:bCs/>
          <w:color w:val="000000" w:themeColor="text1"/>
        </w:rPr>
        <w:t>.</w:t>
      </w:r>
      <w:r w:rsidR="005A1600">
        <w:rPr>
          <w:rFonts w:eastAsiaTheme="minorEastAsia"/>
          <w:b/>
          <w:bCs/>
          <w:color w:val="000000" w:themeColor="text1"/>
        </w:rPr>
        <w:t>45</w:t>
      </w:r>
    </w:p>
    <w:p w14:paraId="1408ADB9" w14:textId="77777777" w:rsidR="005A1600" w:rsidRPr="007055B1" w:rsidRDefault="005A1600" w:rsidP="005A1600">
      <w:pPr>
        <w:spacing w:after="0" w:line="240" w:lineRule="auto"/>
        <w:rPr>
          <w:rFonts w:eastAsiaTheme="minorEastAsia"/>
        </w:rPr>
      </w:pPr>
      <w:r w:rsidRPr="1C79AD7C">
        <w:rPr>
          <w:rFonts w:eastAsiaTheme="minorEastAsia"/>
          <w:color w:val="000000" w:themeColor="text1"/>
        </w:rPr>
        <w:t xml:space="preserve">Dr Simon </w:t>
      </w:r>
      <w:proofErr w:type="spellStart"/>
      <w:r w:rsidRPr="1C79AD7C">
        <w:rPr>
          <w:rFonts w:eastAsiaTheme="minorEastAsia"/>
          <w:color w:val="000000" w:themeColor="text1"/>
        </w:rPr>
        <w:t>Payling</w:t>
      </w:r>
      <w:proofErr w:type="spellEnd"/>
      <w:r w:rsidRPr="1C79AD7C">
        <w:rPr>
          <w:rFonts w:eastAsiaTheme="minorEastAsia"/>
          <w:color w:val="000000" w:themeColor="text1"/>
        </w:rPr>
        <w:t xml:space="preserve"> (History of Parliament), </w:t>
      </w:r>
      <w:r w:rsidRPr="1C79AD7C">
        <w:rPr>
          <w:rFonts w:eastAsiaTheme="minorEastAsia"/>
        </w:rPr>
        <w:t>‘</w:t>
      </w:r>
      <w:r>
        <w:rPr>
          <w:rFonts w:eastAsiaTheme="minorEastAsia"/>
        </w:rPr>
        <w:t xml:space="preserve">A </w:t>
      </w:r>
      <w:r>
        <w:t>fluid élite? County MPs in the reign of Henry VI’</w:t>
      </w:r>
      <w:r w:rsidRPr="1C79AD7C">
        <w:rPr>
          <w:rFonts w:eastAsiaTheme="minorEastAsia"/>
        </w:rPr>
        <w:t xml:space="preserve"> </w:t>
      </w:r>
    </w:p>
    <w:p w14:paraId="1D3ACE1A" w14:textId="77777777" w:rsidR="00833BC6" w:rsidRPr="007055B1" w:rsidRDefault="00833BC6" w:rsidP="00833BC6">
      <w:pPr>
        <w:spacing w:after="0" w:line="240" w:lineRule="auto"/>
        <w:rPr>
          <w:rFonts w:eastAsiaTheme="minorEastAsia"/>
          <w:b/>
          <w:bCs/>
        </w:rPr>
      </w:pPr>
      <w:r w:rsidRPr="1C79AD7C">
        <w:rPr>
          <w:rFonts w:eastAsiaTheme="minorEastAsia"/>
        </w:rPr>
        <w:t>Dr Des Atkinson (Exeter), ‘The clergy of the Salisbury diocese across the fifteenth century – what does a newly completed database of ordination records tell us?’</w:t>
      </w:r>
    </w:p>
    <w:p w14:paraId="5523AF58" w14:textId="77777777" w:rsidR="00C32BC4" w:rsidRDefault="00C32BC4" w:rsidP="1C79AD7C">
      <w:pPr>
        <w:spacing w:after="0" w:line="240" w:lineRule="auto"/>
        <w:rPr>
          <w:rFonts w:eastAsiaTheme="minorEastAsia"/>
        </w:rPr>
      </w:pPr>
    </w:p>
    <w:p w14:paraId="489284EF" w14:textId="46B30D75" w:rsidR="3F27518F" w:rsidRDefault="3F27518F" w:rsidP="2BC7668C">
      <w:pPr>
        <w:spacing w:after="0" w:line="240" w:lineRule="auto"/>
        <w:rPr>
          <w:rFonts w:eastAsiaTheme="minorEastAsia"/>
        </w:rPr>
      </w:pPr>
      <w:r w:rsidRPr="2BC7668C">
        <w:rPr>
          <w:rFonts w:eastAsiaTheme="minorEastAsia"/>
        </w:rPr>
        <w:t>Tea</w:t>
      </w:r>
      <w:r w:rsidR="005A1600">
        <w:rPr>
          <w:rFonts w:eastAsiaTheme="minorEastAsia"/>
        </w:rPr>
        <w:t xml:space="preserve"> &amp; accommodation check-in</w:t>
      </w:r>
    </w:p>
    <w:p w14:paraId="264C9F02" w14:textId="0CB439AA" w:rsidR="2BC7668C" w:rsidRDefault="2BC7668C" w:rsidP="2BC7668C">
      <w:pPr>
        <w:spacing w:after="0" w:line="240" w:lineRule="auto"/>
        <w:rPr>
          <w:rFonts w:eastAsiaTheme="minorEastAsia"/>
        </w:rPr>
      </w:pPr>
    </w:p>
    <w:p w14:paraId="07E3E07A" w14:textId="74309E3C" w:rsidR="00C32BC4" w:rsidRPr="007055B1" w:rsidRDefault="56A3D1C7" w:rsidP="1C79AD7C">
      <w:pPr>
        <w:spacing w:after="0" w:line="240" w:lineRule="auto"/>
        <w:rPr>
          <w:rFonts w:eastAsiaTheme="minorEastAsia"/>
          <w:b/>
          <w:bCs/>
        </w:rPr>
      </w:pPr>
      <w:r w:rsidRPr="1C79AD7C">
        <w:rPr>
          <w:rFonts w:eastAsiaTheme="minorEastAsia"/>
          <w:b/>
          <w:bCs/>
        </w:rPr>
        <w:t>Session 3 – 1</w:t>
      </w:r>
      <w:r w:rsidR="005A1600">
        <w:rPr>
          <w:rFonts w:eastAsiaTheme="minorEastAsia"/>
          <w:b/>
          <w:bCs/>
        </w:rPr>
        <w:t>6.30</w:t>
      </w:r>
      <w:r w:rsidRPr="1C79AD7C">
        <w:rPr>
          <w:rFonts w:eastAsiaTheme="minorEastAsia"/>
          <w:b/>
          <w:bCs/>
        </w:rPr>
        <w:t>-18:</w:t>
      </w:r>
      <w:r w:rsidR="005A1600">
        <w:rPr>
          <w:rFonts w:eastAsiaTheme="minorEastAsia"/>
          <w:b/>
          <w:bCs/>
        </w:rPr>
        <w:t>0</w:t>
      </w:r>
      <w:r w:rsidRPr="1C79AD7C">
        <w:rPr>
          <w:rFonts w:eastAsiaTheme="minorEastAsia"/>
          <w:b/>
          <w:bCs/>
        </w:rPr>
        <w:t>0</w:t>
      </w:r>
    </w:p>
    <w:p w14:paraId="0C3B0FBA" w14:textId="6F1B1A68" w:rsidR="00C32BC4" w:rsidRPr="007055B1" w:rsidRDefault="56A3D1C7" w:rsidP="1C79AD7C">
      <w:pPr>
        <w:spacing w:after="0" w:line="240" w:lineRule="auto"/>
        <w:rPr>
          <w:rFonts w:eastAsiaTheme="minorEastAsia"/>
        </w:rPr>
      </w:pPr>
      <w:r w:rsidRPr="1C79AD7C">
        <w:rPr>
          <w:rFonts w:eastAsiaTheme="minorEastAsia"/>
        </w:rPr>
        <w:t>Dr</w:t>
      </w:r>
      <w:r w:rsidR="00C32BC4" w:rsidRPr="1C79AD7C">
        <w:rPr>
          <w:rFonts w:eastAsiaTheme="minorEastAsia"/>
        </w:rPr>
        <w:t xml:space="preserve"> Ted Powell (Independent scholar)</w:t>
      </w:r>
      <w:r w:rsidR="16E2C60E" w:rsidRPr="1C79AD7C">
        <w:rPr>
          <w:rFonts w:eastAsiaTheme="minorEastAsia"/>
        </w:rPr>
        <w:t>, ‘</w:t>
      </w:r>
      <w:r w:rsidR="00C32BC4" w:rsidRPr="1C79AD7C">
        <w:rPr>
          <w:rFonts w:eastAsiaTheme="minorEastAsia"/>
        </w:rPr>
        <w:t>How do you solve a problem like the Hanse? Diplomacy and Litigation in the Reign of Edward IV</w:t>
      </w:r>
      <w:r w:rsidR="0BFDC6D0" w:rsidRPr="1C79AD7C">
        <w:rPr>
          <w:rFonts w:eastAsiaTheme="minorEastAsia"/>
        </w:rPr>
        <w:t>’</w:t>
      </w:r>
    </w:p>
    <w:p w14:paraId="6623941B" w14:textId="315B5B3E" w:rsidR="00C32BC4" w:rsidRDefault="0BFDC6D0" w:rsidP="1C79AD7C">
      <w:pPr>
        <w:spacing w:after="0" w:line="240" w:lineRule="auto"/>
        <w:rPr>
          <w:rFonts w:eastAsiaTheme="minorEastAsia"/>
        </w:rPr>
      </w:pPr>
      <w:r w:rsidRPr="1C79AD7C">
        <w:rPr>
          <w:rFonts w:eastAsiaTheme="minorEastAsia"/>
        </w:rPr>
        <w:t xml:space="preserve">Dr </w:t>
      </w:r>
      <w:r w:rsidR="00C32BC4" w:rsidRPr="1C79AD7C">
        <w:rPr>
          <w:rFonts w:eastAsiaTheme="minorEastAsia"/>
        </w:rPr>
        <w:t>Ed Meek (Independent Scholar)</w:t>
      </w:r>
      <w:r w:rsidR="1055E1BA" w:rsidRPr="1C79AD7C">
        <w:rPr>
          <w:rFonts w:eastAsiaTheme="minorEastAsia"/>
        </w:rPr>
        <w:t xml:space="preserve">, </w:t>
      </w:r>
      <w:r w:rsidR="00C32BC4" w:rsidRPr="1C79AD7C">
        <w:rPr>
          <w:rFonts w:eastAsiaTheme="minorEastAsia"/>
        </w:rPr>
        <w:t>‘Ask that is right or that is honest’: Yorkist diplomacy in action and the Diet of Utrecht, 1473-4</w:t>
      </w:r>
      <w:r w:rsidR="4F2114DB" w:rsidRPr="1C79AD7C">
        <w:rPr>
          <w:rFonts w:eastAsiaTheme="minorEastAsia"/>
        </w:rPr>
        <w:t>'</w:t>
      </w:r>
    </w:p>
    <w:p w14:paraId="33FB037E" w14:textId="77777777" w:rsidR="005A1600" w:rsidRDefault="005A1600" w:rsidP="1C79AD7C">
      <w:pPr>
        <w:spacing w:after="0" w:line="240" w:lineRule="auto"/>
        <w:rPr>
          <w:rFonts w:eastAsiaTheme="minorEastAsia"/>
        </w:rPr>
      </w:pPr>
    </w:p>
    <w:p w14:paraId="09048ADC" w14:textId="0E683B95" w:rsidR="005A1600" w:rsidRDefault="005A1600" w:rsidP="1C79AD7C">
      <w:pPr>
        <w:spacing w:after="0" w:line="240" w:lineRule="auto"/>
        <w:rPr>
          <w:rFonts w:eastAsiaTheme="minorEastAsia"/>
        </w:rPr>
      </w:pPr>
      <w:r>
        <w:rPr>
          <w:rFonts w:eastAsiaTheme="minorEastAsia"/>
        </w:rPr>
        <w:t>18.00-19.00 Wine Reception sponsored by the Yorkist History Trust</w:t>
      </w:r>
    </w:p>
    <w:p w14:paraId="72A605F8" w14:textId="77777777" w:rsidR="005A1600" w:rsidRDefault="005A1600" w:rsidP="1C79AD7C">
      <w:pPr>
        <w:spacing w:after="0" w:line="240" w:lineRule="auto"/>
        <w:rPr>
          <w:rFonts w:eastAsiaTheme="minorEastAsia"/>
        </w:rPr>
      </w:pPr>
    </w:p>
    <w:p w14:paraId="3DA15AEA" w14:textId="52B62318" w:rsidR="005A1600" w:rsidRPr="007055B1" w:rsidRDefault="005A1600" w:rsidP="1C79AD7C">
      <w:pPr>
        <w:spacing w:after="0" w:line="240" w:lineRule="auto"/>
        <w:rPr>
          <w:rFonts w:eastAsiaTheme="minorEastAsia"/>
        </w:rPr>
      </w:pPr>
      <w:r>
        <w:rPr>
          <w:rFonts w:eastAsiaTheme="minorEastAsia"/>
        </w:rPr>
        <w:t>19.00 Dinner</w:t>
      </w:r>
    </w:p>
    <w:p w14:paraId="78D16BA3" w14:textId="5F181EBE" w:rsidR="1C79AD7C" w:rsidRDefault="1C79AD7C" w:rsidP="1C79AD7C">
      <w:pPr>
        <w:pStyle w:val="ListParagraph"/>
        <w:spacing w:after="0" w:line="240" w:lineRule="auto"/>
        <w:rPr>
          <w:rFonts w:eastAsiaTheme="minorEastAsia"/>
        </w:rPr>
      </w:pPr>
    </w:p>
    <w:p w14:paraId="48C68ED7" w14:textId="0A25C1E6" w:rsidR="2BC7668C" w:rsidRDefault="2BC7668C" w:rsidP="2BC7668C">
      <w:pPr>
        <w:pStyle w:val="ListParagraph"/>
        <w:spacing w:after="0" w:line="240" w:lineRule="auto"/>
        <w:rPr>
          <w:rFonts w:eastAsiaTheme="minorEastAsia"/>
        </w:rPr>
      </w:pPr>
    </w:p>
    <w:p w14:paraId="16A45169" w14:textId="7E95F95D" w:rsidR="00436282" w:rsidRDefault="4F2114DB" w:rsidP="1CD91D82">
      <w:pPr>
        <w:pStyle w:val="ListParagraph"/>
        <w:spacing w:after="0" w:line="240" w:lineRule="auto"/>
        <w:ind w:left="0"/>
        <w:rPr>
          <w:rFonts w:eastAsiaTheme="minorEastAsia"/>
          <w:b/>
          <w:bCs/>
        </w:rPr>
      </w:pPr>
      <w:r w:rsidRPr="2BC7668C">
        <w:rPr>
          <w:rFonts w:eastAsiaTheme="minorEastAsia"/>
          <w:b/>
          <w:bCs/>
        </w:rPr>
        <w:t>Friday 1 September</w:t>
      </w:r>
    </w:p>
    <w:p w14:paraId="63CC723E" w14:textId="11DF12D1" w:rsidR="2BC7668C" w:rsidRDefault="2BC7668C" w:rsidP="2BC7668C">
      <w:pPr>
        <w:pStyle w:val="ListParagraph"/>
        <w:spacing w:after="0" w:line="240" w:lineRule="auto"/>
        <w:ind w:left="0"/>
        <w:rPr>
          <w:rFonts w:eastAsiaTheme="minorEastAsia"/>
          <w:b/>
          <w:bCs/>
        </w:rPr>
      </w:pPr>
    </w:p>
    <w:p w14:paraId="2A9CE81C" w14:textId="38F77FF3" w:rsidR="00436282" w:rsidRPr="00A43123" w:rsidRDefault="4F2114DB" w:rsidP="1C79AD7C">
      <w:pPr>
        <w:pStyle w:val="ListParagraph"/>
        <w:spacing w:after="0" w:line="240" w:lineRule="auto"/>
        <w:ind w:left="0"/>
        <w:rPr>
          <w:rFonts w:eastAsiaTheme="minorEastAsia"/>
        </w:rPr>
      </w:pPr>
      <w:r w:rsidRPr="1C79AD7C">
        <w:rPr>
          <w:rFonts w:eastAsiaTheme="minorEastAsia"/>
          <w:b/>
          <w:bCs/>
        </w:rPr>
        <w:t>Session 4 – 09:00-10:30</w:t>
      </w:r>
      <w:r w:rsidR="00A43123">
        <w:rPr>
          <w:rFonts w:eastAsiaTheme="minorEastAsia"/>
          <w:b/>
          <w:bCs/>
        </w:rPr>
        <w:t xml:space="preserve"> </w:t>
      </w:r>
    </w:p>
    <w:p w14:paraId="172687C8" w14:textId="3BDA765E" w:rsidR="00C32BC4" w:rsidRDefault="4F2114DB" w:rsidP="1C79AD7C">
      <w:pPr>
        <w:spacing w:after="0" w:line="240" w:lineRule="auto"/>
        <w:rPr>
          <w:rFonts w:eastAsiaTheme="minorEastAsia"/>
        </w:rPr>
      </w:pPr>
      <w:r w:rsidRPr="1C79AD7C">
        <w:rPr>
          <w:rFonts w:eastAsiaTheme="minorEastAsia"/>
        </w:rPr>
        <w:t>Dr</w:t>
      </w:r>
      <w:r w:rsidR="4C6ADF3E" w:rsidRPr="1C79AD7C">
        <w:rPr>
          <w:rFonts w:eastAsiaTheme="minorEastAsia"/>
        </w:rPr>
        <w:t xml:space="preserve"> </w:t>
      </w:r>
      <w:r w:rsidR="00C32BC4" w:rsidRPr="1C79AD7C">
        <w:rPr>
          <w:rFonts w:eastAsiaTheme="minorEastAsia"/>
        </w:rPr>
        <w:t>Daniel Gosling (TNA)</w:t>
      </w:r>
      <w:r w:rsidR="5587AB3F" w:rsidRPr="1C79AD7C">
        <w:rPr>
          <w:rFonts w:eastAsiaTheme="minorEastAsia"/>
        </w:rPr>
        <w:t>, ‘</w:t>
      </w:r>
      <w:r w:rsidR="00C32BC4" w:rsidRPr="1C79AD7C">
        <w:rPr>
          <w:rFonts w:eastAsiaTheme="minorEastAsia"/>
        </w:rPr>
        <w:t>Chancery and the Church: ecclesiastical matters in equity suits in the fifteenth century</w:t>
      </w:r>
      <w:r w:rsidR="4123187E" w:rsidRPr="1C79AD7C">
        <w:rPr>
          <w:rFonts w:eastAsiaTheme="minorEastAsia"/>
        </w:rPr>
        <w:t>’</w:t>
      </w:r>
    </w:p>
    <w:p w14:paraId="36D12446" w14:textId="39256333" w:rsidR="00C32BC4" w:rsidRDefault="00C32BC4" w:rsidP="1C79AD7C">
      <w:pPr>
        <w:spacing w:after="0" w:line="240" w:lineRule="auto"/>
        <w:rPr>
          <w:rFonts w:eastAsiaTheme="minorEastAsia"/>
        </w:rPr>
      </w:pPr>
      <w:r w:rsidRPr="1C79AD7C">
        <w:rPr>
          <w:rFonts w:eastAsiaTheme="minorEastAsia"/>
        </w:rPr>
        <w:t xml:space="preserve">Ebba </w:t>
      </w:r>
      <w:proofErr w:type="spellStart"/>
      <w:r w:rsidRPr="1C79AD7C">
        <w:rPr>
          <w:rFonts w:eastAsiaTheme="minorEastAsia"/>
        </w:rPr>
        <w:t>Strutzenbladh</w:t>
      </w:r>
      <w:proofErr w:type="spellEnd"/>
      <w:r w:rsidRPr="1C79AD7C">
        <w:rPr>
          <w:rFonts w:eastAsiaTheme="minorEastAsia"/>
        </w:rPr>
        <w:t xml:space="preserve"> (Aberdeen)</w:t>
      </w:r>
      <w:r w:rsidR="291C0173" w:rsidRPr="1C79AD7C">
        <w:rPr>
          <w:rFonts w:eastAsiaTheme="minorEastAsia"/>
        </w:rPr>
        <w:t>, ‘</w:t>
      </w:r>
      <w:r w:rsidRPr="1C79AD7C">
        <w:rPr>
          <w:rFonts w:eastAsiaTheme="minorEastAsia"/>
        </w:rPr>
        <w:t>The Power of Women Through the Law: Familial Consent in Late Medieval Scotland</w:t>
      </w:r>
      <w:r w:rsidR="72B0D95A" w:rsidRPr="1C79AD7C">
        <w:rPr>
          <w:rFonts w:eastAsiaTheme="minorEastAsia"/>
        </w:rPr>
        <w:t>’</w:t>
      </w:r>
      <w:r w:rsidRPr="1C79AD7C">
        <w:rPr>
          <w:rFonts w:eastAsiaTheme="minorEastAsia"/>
        </w:rPr>
        <w:t xml:space="preserve"> </w:t>
      </w:r>
    </w:p>
    <w:p w14:paraId="2797FE6E" w14:textId="77777777" w:rsidR="00C32BC4" w:rsidRDefault="00C32BC4" w:rsidP="1C79AD7C">
      <w:pPr>
        <w:spacing w:after="0" w:line="240" w:lineRule="auto"/>
        <w:rPr>
          <w:rFonts w:eastAsiaTheme="minorEastAsia"/>
        </w:rPr>
      </w:pPr>
    </w:p>
    <w:p w14:paraId="53409C8A" w14:textId="2B064EBB" w:rsidR="3CE1C2CB" w:rsidRDefault="3CE1C2CB" w:rsidP="1CD91D82">
      <w:pPr>
        <w:spacing w:after="0" w:line="240" w:lineRule="auto"/>
        <w:rPr>
          <w:rFonts w:eastAsiaTheme="minorEastAsia"/>
        </w:rPr>
      </w:pPr>
      <w:r w:rsidRPr="1CD91D82">
        <w:rPr>
          <w:rFonts w:eastAsiaTheme="minorEastAsia"/>
        </w:rPr>
        <w:t>Coffee</w:t>
      </w:r>
    </w:p>
    <w:p w14:paraId="359528FE" w14:textId="492C8044" w:rsidR="1CD91D82" w:rsidRDefault="1CD91D82" w:rsidP="1CD91D82">
      <w:pPr>
        <w:spacing w:after="0" w:line="240" w:lineRule="auto"/>
        <w:rPr>
          <w:rFonts w:eastAsiaTheme="minorEastAsia"/>
        </w:rPr>
      </w:pPr>
    </w:p>
    <w:p w14:paraId="1F01C200" w14:textId="09F467A5" w:rsidR="00436282" w:rsidRPr="00A43123" w:rsidRDefault="6D186CA5" w:rsidP="1C79AD7C">
      <w:pPr>
        <w:spacing w:after="0" w:line="240" w:lineRule="auto"/>
        <w:rPr>
          <w:rFonts w:eastAsiaTheme="minorEastAsia"/>
        </w:rPr>
      </w:pPr>
      <w:r w:rsidRPr="1C79AD7C">
        <w:rPr>
          <w:rFonts w:eastAsiaTheme="minorEastAsia"/>
          <w:b/>
          <w:bCs/>
        </w:rPr>
        <w:t>Session 5 – 11.00-12:30</w:t>
      </w:r>
      <w:r w:rsidR="00A43123">
        <w:rPr>
          <w:rFonts w:eastAsiaTheme="minorEastAsia"/>
          <w:b/>
          <w:bCs/>
        </w:rPr>
        <w:t xml:space="preserve"> </w:t>
      </w:r>
    </w:p>
    <w:p w14:paraId="41940AFF" w14:textId="4D8E4365" w:rsidR="00436282" w:rsidRPr="007055B1" w:rsidRDefault="6D186CA5" w:rsidP="1C79AD7C">
      <w:pPr>
        <w:spacing w:after="0" w:line="240" w:lineRule="auto"/>
        <w:rPr>
          <w:rFonts w:eastAsiaTheme="minorEastAsia"/>
          <w:b/>
          <w:bCs/>
        </w:rPr>
      </w:pPr>
      <w:r w:rsidRPr="1C79AD7C">
        <w:rPr>
          <w:rFonts w:eastAsiaTheme="minorEastAsia"/>
        </w:rPr>
        <w:t xml:space="preserve">Dr </w:t>
      </w:r>
      <w:r w:rsidR="00436282" w:rsidRPr="1C79AD7C">
        <w:rPr>
          <w:rFonts w:eastAsiaTheme="minorEastAsia"/>
        </w:rPr>
        <w:t>Sean Cunningham (TNA)</w:t>
      </w:r>
      <w:r w:rsidR="70132FA6" w:rsidRPr="1C79AD7C">
        <w:rPr>
          <w:rFonts w:eastAsiaTheme="minorEastAsia"/>
        </w:rPr>
        <w:t>, ‘</w:t>
      </w:r>
      <w:r w:rsidR="00436282" w:rsidRPr="1C79AD7C">
        <w:rPr>
          <w:rFonts w:eastAsiaTheme="minorEastAsia"/>
        </w:rPr>
        <w:t>Reacting to Regime Change: rivalries, restorations and political decision making on the Welsh Marches, 1485-7</w:t>
      </w:r>
      <w:r w:rsidR="38064C7D" w:rsidRPr="1C79AD7C">
        <w:rPr>
          <w:rFonts w:eastAsiaTheme="minorEastAsia"/>
        </w:rPr>
        <w:t>'</w:t>
      </w:r>
    </w:p>
    <w:p w14:paraId="4D485F69" w14:textId="319CCFDD" w:rsidR="00436282" w:rsidRPr="007055B1" w:rsidRDefault="38064C7D" w:rsidP="1C79AD7C">
      <w:pPr>
        <w:spacing w:after="0" w:line="240" w:lineRule="auto"/>
        <w:rPr>
          <w:rFonts w:eastAsiaTheme="minorEastAsia"/>
        </w:rPr>
      </w:pPr>
      <w:r w:rsidRPr="1C79AD7C">
        <w:rPr>
          <w:rFonts w:eastAsiaTheme="minorEastAsia"/>
        </w:rPr>
        <w:t>Prof</w:t>
      </w:r>
      <w:r w:rsidR="005A1600">
        <w:rPr>
          <w:rFonts w:eastAsiaTheme="minorEastAsia"/>
        </w:rPr>
        <w:t>.</w:t>
      </w:r>
      <w:r w:rsidRPr="1C79AD7C">
        <w:rPr>
          <w:rFonts w:eastAsiaTheme="minorEastAsia"/>
        </w:rPr>
        <w:t xml:space="preserve"> </w:t>
      </w:r>
      <w:r w:rsidR="00436282" w:rsidRPr="1C79AD7C">
        <w:rPr>
          <w:rFonts w:eastAsiaTheme="minorEastAsia"/>
        </w:rPr>
        <w:t>Michael Hicks (Winchester)</w:t>
      </w:r>
      <w:r w:rsidR="082BA84F" w:rsidRPr="1C79AD7C">
        <w:rPr>
          <w:rFonts w:eastAsiaTheme="minorEastAsia"/>
        </w:rPr>
        <w:t>, ‘</w:t>
      </w:r>
      <w:r w:rsidR="00436282" w:rsidRPr="1C79AD7C">
        <w:rPr>
          <w:rFonts w:eastAsiaTheme="minorEastAsia"/>
        </w:rPr>
        <w:t>A Much Regulated Society; The Costs and Burdens of the Government of the Fifteenth-Century Counties</w:t>
      </w:r>
      <w:r w:rsidR="3B3C58DB" w:rsidRPr="1C79AD7C">
        <w:rPr>
          <w:rFonts w:eastAsiaTheme="minorEastAsia"/>
        </w:rPr>
        <w:t>’</w:t>
      </w:r>
    </w:p>
    <w:p w14:paraId="186257A2" w14:textId="77777777" w:rsidR="00C32BC4" w:rsidRDefault="00C32BC4" w:rsidP="1C79AD7C">
      <w:pPr>
        <w:spacing w:after="0" w:line="240" w:lineRule="auto"/>
        <w:rPr>
          <w:rFonts w:eastAsiaTheme="minorEastAsia"/>
        </w:rPr>
      </w:pPr>
    </w:p>
    <w:p w14:paraId="3F8B8BE0" w14:textId="79BC63E1" w:rsidR="3B3C58DB" w:rsidRDefault="3B3C58DB" w:rsidP="1C79AD7C">
      <w:pPr>
        <w:spacing w:after="0" w:line="240" w:lineRule="auto"/>
        <w:rPr>
          <w:rFonts w:eastAsiaTheme="minorEastAsia"/>
        </w:rPr>
      </w:pPr>
      <w:r w:rsidRPr="2BC7668C">
        <w:rPr>
          <w:rFonts w:eastAsiaTheme="minorEastAsia"/>
        </w:rPr>
        <w:t>Lunch 12:30-13.15</w:t>
      </w:r>
    </w:p>
    <w:p w14:paraId="223AA743" w14:textId="5E9613E6" w:rsidR="2BC7668C" w:rsidRDefault="2BC7668C" w:rsidP="2BC7668C">
      <w:pPr>
        <w:spacing w:after="0" w:line="240" w:lineRule="auto"/>
        <w:rPr>
          <w:rFonts w:eastAsiaTheme="minorEastAsia"/>
        </w:rPr>
      </w:pPr>
    </w:p>
    <w:p w14:paraId="1DD3012C" w14:textId="10D4DA40" w:rsidR="3B3C58DB" w:rsidRDefault="0018759D" w:rsidP="1CD91D82">
      <w:pPr>
        <w:spacing w:after="0" w:line="240" w:lineRule="auto"/>
        <w:rPr>
          <w:rFonts w:eastAsiaTheme="minorEastAsia"/>
          <w:b/>
          <w:bCs/>
        </w:rPr>
      </w:pPr>
      <w:r>
        <w:rPr>
          <w:rFonts w:eastAsiaTheme="minorEastAsia"/>
          <w:b/>
          <w:bCs/>
        </w:rPr>
        <w:t>Optional o</w:t>
      </w:r>
      <w:r w:rsidR="3B3C58DB" w:rsidRPr="1CD91D82">
        <w:rPr>
          <w:rFonts w:eastAsiaTheme="minorEastAsia"/>
          <w:b/>
          <w:bCs/>
        </w:rPr>
        <w:t>uting to Winchester Cathedral 13:15-15:</w:t>
      </w:r>
      <w:r w:rsidR="00F57E3C">
        <w:rPr>
          <w:rFonts w:eastAsiaTheme="minorEastAsia"/>
          <w:b/>
          <w:bCs/>
        </w:rPr>
        <w:t>15</w:t>
      </w:r>
    </w:p>
    <w:p w14:paraId="6216034B" w14:textId="13639BA9" w:rsidR="1C79AD7C" w:rsidRDefault="1C79AD7C" w:rsidP="1C79AD7C">
      <w:pPr>
        <w:spacing w:after="0" w:line="240" w:lineRule="auto"/>
        <w:rPr>
          <w:rFonts w:eastAsiaTheme="minorEastAsia"/>
        </w:rPr>
      </w:pPr>
    </w:p>
    <w:p w14:paraId="4277B001" w14:textId="7236E5A4" w:rsidR="3B3C58DB" w:rsidRDefault="3B3C58DB" w:rsidP="1C79AD7C">
      <w:pPr>
        <w:spacing w:after="0" w:line="240" w:lineRule="auto"/>
        <w:rPr>
          <w:rFonts w:eastAsiaTheme="minorEastAsia"/>
          <w:b/>
          <w:bCs/>
        </w:rPr>
      </w:pPr>
      <w:r w:rsidRPr="1C79AD7C">
        <w:rPr>
          <w:rFonts w:eastAsiaTheme="minorEastAsia"/>
          <w:b/>
          <w:bCs/>
        </w:rPr>
        <w:t>Session 6 – 15:</w:t>
      </w:r>
      <w:r w:rsidR="00F57E3C">
        <w:rPr>
          <w:rFonts w:eastAsiaTheme="minorEastAsia"/>
          <w:b/>
          <w:bCs/>
        </w:rPr>
        <w:t>15</w:t>
      </w:r>
      <w:r w:rsidRPr="1C79AD7C">
        <w:rPr>
          <w:rFonts w:eastAsiaTheme="minorEastAsia"/>
          <w:b/>
          <w:bCs/>
        </w:rPr>
        <w:t>-16:</w:t>
      </w:r>
      <w:r w:rsidR="00F57E3C">
        <w:rPr>
          <w:rFonts w:eastAsiaTheme="minorEastAsia"/>
          <w:b/>
          <w:bCs/>
        </w:rPr>
        <w:t>45</w:t>
      </w:r>
    </w:p>
    <w:p w14:paraId="6A80D059" w14:textId="6E827F2E" w:rsidR="00C32BC4" w:rsidRPr="007055B1" w:rsidRDefault="3B3C58DB" w:rsidP="1C79AD7C">
      <w:pPr>
        <w:spacing w:after="0" w:line="240" w:lineRule="auto"/>
        <w:rPr>
          <w:rFonts w:eastAsiaTheme="minorEastAsia"/>
          <w:b/>
          <w:bCs/>
        </w:rPr>
      </w:pPr>
      <w:r w:rsidRPr="1C79AD7C">
        <w:rPr>
          <w:rFonts w:eastAsiaTheme="minorEastAsia"/>
        </w:rPr>
        <w:lastRenderedPageBreak/>
        <w:t xml:space="preserve">Dr </w:t>
      </w:r>
      <w:r w:rsidR="00C32BC4" w:rsidRPr="1C79AD7C">
        <w:rPr>
          <w:rFonts w:eastAsiaTheme="minorEastAsia"/>
        </w:rPr>
        <w:t>Malcolm Mercer (Royal Armouries)</w:t>
      </w:r>
      <w:r w:rsidR="49B4A9A1" w:rsidRPr="1C79AD7C">
        <w:rPr>
          <w:rFonts w:eastAsiaTheme="minorEastAsia"/>
        </w:rPr>
        <w:t>, ‘</w:t>
      </w:r>
      <w:r w:rsidR="00C32BC4" w:rsidRPr="1C79AD7C">
        <w:rPr>
          <w:rFonts w:eastAsiaTheme="minorEastAsia"/>
        </w:rPr>
        <w:t>Custom Made, Off the Shelf, and Parts: The Armour and Weapons Import Trade in Later Medieval England</w:t>
      </w:r>
      <w:r w:rsidR="7A1EB384" w:rsidRPr="1C79AD7C">
        <w:rPr>
          <w:rFonts w:eastAsiaTheme="minorEastAsia"/>
        </w:rPr>
        <w:t>’</w:t>
      </w:r>
    </w:p>
    <w:p w14:paraId="40EB5854" w14:textId="3A0104B4" w:rsidR="00C32BC4" w:rsidRDefault="00C32BC4" w:rsidP="1C79AD7C">
      <w:pPr>
        <w:spacing w:after="0" w:line="240" w:lineRule="auto"/>
        <w:rPr>
          <w:rFonts w:eastAsiaTheme="minorEastAsia"/>
          <w:b/>
          <w:bCs/>
          <w:color w:val="000000" w:themeColor="text1"/>
        </w:rPr>
      </w:pPr>
      <w:r w:rsidRPr="1C79AD7C">
        <w:rPr>
          <w:rFonts w:eastAsiaTheme="minorEastAsia"/>
          <w:color w:val="000000" w:themeColor="text1"/>
        </w:rPr>
        <w:t>Kirsty Haslam (Aberdeen)</w:t>
      </w:r>
      <w:r w:rsidR="41991186" w:rsidRPr="1C79AD7C">
        <w:rPr>
          <w:rFonts w:eastAsiaTheme="minorEastAsia"/>
          <w:color w:val="000000" w:themeColor="text1"/>
        </w:rPr>
        <w:t>, ‘</w:t>
      </w:r>
      <w:r w:rsidRPr="1C79AD7C">
        <w:rPr>
          <w:rFonts w:eastAsiaTheme="minorEastAsia"/>
          <w:color w:val="000000" w:themeColor="text1"/>
        </w:rPr>
        <w:t>A Century of Continuity and a Decade of Change? The Development of Martial Infrastructure in Scottish burghs across the Fifteenth Century</w:t>
      </w:r>
      <w:r w:rsidR="67CCC3E9" w:rsidRPr="1C79AD7C">
        <w:rPr>
          <w:rFonts w:eastAsiaTheme="minorEastAsia"/>
          <w:color w:val="000000" w:themeColor="text1"/>
        </w:rPr>
        <w:t>’</w:t>
      </w:r>
    </w:p>
    <w:p w14:paraId="575F23DD" w14:textId="5374B9D9" w:rsidR="00436282" w:rsidRDefault="00436282" w:rsidP="1C79AD7C">
      <w:pPr>
        <w:spacing w:after="0" w:line="240" w:lineRule="auto"/>
        <w:rPr>
          <w:rFonts w:eastAsiaTheme="minorEastAsia"/>
        </w:rPr>
      </w:pPr>
    </w:p>
    <w:p w14:paraId="477FEB05" w14:textId="0A2CECC0" w:rsidR="74725014" w:rsidRDefault="74725014" w:rsidP="1CD91D82">
      <w:pPr>
        <w:spacing w:after="0" w:line="240" w:lineRule="auto"/>
        <w:rPr>
          <w:rFonts w:eastAsiaTheme="minorEastAsia"/>
        </w:rPr>
      </w:pPr>
      <w:r w:rsidRPr="1CD91D82">
        <w:rPr>
          <w:rFonts w:eastAsiaTheme="minorEastAsia"/>
        </w:rPr>
        <w:t>Tea</w:t>
      </w:r>
    </w:p>
    <w:p w14:paraId="27F13F55" w14:textId="1FF13F6F" w:rsidR="1CD91D82" w:rsidRDefault="1CD91D82" w:rsidP="1CD91D82">
      <w:pPr>
        <w:spacing w:after="0" w:line="240" w:lineRule="auto"/>
        <w:rPr>
          <w:rFonts w:eastAsiaTheme="minorEastAsia"/>
        </w:rPr>
      </w:pPr>
    </w:p>
    <w:p w14:paraId="273D7CBF" w14:textId="0DCB73D0" w:rsidR="67CCC3E9" w:rsidRDefault="67CCC3E9" w:rsidP="1CD91D82">
      <w:pPr>
        <w:spacing w:after="0" w:line="240" w:lineRule="auto"/>
        <w:rPr>
          <w:rFonts w:eastAsiaTheme="minorEastAsia"/>
          <w:b/>
          <w:bCs/>
        </w:rPr>
      </w:pPr>
      <w:r w:rsidRPr="1CD91D82">
        <w:rPr>
          <w:rFonts w:eastAsiaTheme="minorEastAsia"/>
          <w:b/>
          <w:bCs/>
        </w:rPr>
        <w:t>Session 7 – 17:</w:t>
      </w:r>
      <w:r w:rsidR="00F57E3C">
        <w:rPr>
          <w:rFonts w:eastAsiaTheme="minorEastAsia"/>
          <w:b/>
          <w:bCs/>
        </w:rPr>
        <w:t>15</w:t>
      </w:r>
      <w:r w:rsidRPr="1CD91D82">
        <w:rPr>
          <w:rFonts w:eastAsiaTheme="minorEastAsia"/>
          <w:b/>
          <w:bCs/>
        </w:rPr>
        <w:t>-18:</w:t>
      </w:r>
      <w:r w:rsidR="00F57E3C">
        <w:rPr>
          <w:rFonts w:eastAsiaTheme="minorEastAsia"/>
          <w:b/>
          <w:bCs/>
        </w:rPr>
        <w:t>45</w:t>
      </w:r>
    </w:p>
    <w:p w14:paraId="19A8A3FD" w14:textId="5226F468" w:rsidR="00320C27" w:rsidRPr="007055B1" w:rsidRDefault="041920EB" w:rsidP="1C79AD7C">
      <w:pPr>
        <w:spacing w:after="0" w:line="240" w:lineRule="auto"/>
        <w:rPr>
          <w:rFonts w:eastAsiaTheme="minorEastAsia"/>
        </w:rPr>
      </w:pPr>
      <w:r w:rsidRPr="1CD91D82">
        <w:rPr>
          <w:rFonts w:eastAsiaTheme="minorEastAsia"/>
        </w:rPr>
        <w:t xml:space="preserve">Prof. </w:t>
      </w:r>
      <w:r w:rsidR="00320C27" w:rsidRPr="1CD91D82">
        <w:rPr>
          <w:rFonts w:eastAsiaTheme="minorEastAsia"/>
        </w:rPr>
        <w:t>Michael Brown (St Andrews)</w:t>
      </w:r>
      <w:r w:rsidR="4F30BDAE" w:rsidRPr="1CD91D82">
        <w:rPr>
          <w:rFonts w:eastAsiaTheme="minorEastAsia"/>
        </w:rPr>
        <w:t>, ‘</w:t>
      </w:r>
      <w:proofErr w:type="spellStart"/>
      <w:r w:rsidR="00320C27" w:rsidRPr="1CD91D82">
        <w:rPr>
          <w:rFonts w:eastAsiaTheme="minorEastAsia"/>
          <w:i/>
          <w:iCs/>
        </w:rPr>
        <w:t>D’Avoir</w:t>
      </w:r>
      <w:proofErr w:type="spellEnd"/>
      <w:r w:rsidR="00320C27" w:rsidRPr="1CD91D82">
        <w:rPr>
          <w:rFonts w:eastAsiaTheme="minorEastAsia"/>
          <w:i/>
          <w:iCs/>
        </w:rPr>
        <w:t xml:space="preserve"> guerre a quatre </w:t>
      </w:r>
      <w:proofErr w:type="spellStart"/>
      <w:r w:rsidR="00320C27" w:rsidRPr="1CD91D82">
        <w:rPr>
          <w:rFonts w:eastAsiaTheme="minorEastAsia"/>
          <w:i/>
          <w:iCs/>
        </w:rPr>
        <w:t>roys</w:t>
      </w:r>
      <w:proofErr w:type="spellEnd"/>
      <w:r w:rsidR="00320C27" w:rsidRPr="1CD91D82">
        <w:rPr>
          <w:rFonts w:eastAsiaTheme="minorEastAsia"/>
        </w:rPr>
        <w:t>: The French attack on Sandwich (1457) in its context</w:t>
      </w:r>
      <w:r w:rsidR="07E4947A" w:rsidRPr="1CD91D82">
        <w:rPr>
          <w:rFonts w:eastAsiaTheme="minorEastAsia"/>
        </w:rPr>
        <w:t>’</w:t>
      </w:r>
    </w:p>
    <w:p w14:paraId="64664A37" w14:textId="286DA2AE" w:rsidR="00320C27" w:rsidRPr="007055B1" w:rsidRDefault="07E4947A" w:rsidP="1CD91D82">
      <w:pPr>
        <w:spacing w:after="0" w:line="240" w:lineRule="auto"/>
        <w:rPr>
          <w:rFonts w:eastAsiaTheme="minorEastAsia"/>
          <w:b/>
          <w:bCs/>
        </w:rPr>
      </w:pPr>
      <w:r w:rsidRPr="1CD91D82">
        <w:rPr>
          <w:rFonts w:eastAsiaTheme="minorEastAsia"/>
        </w:rPr>
        <w:t xml:space="preserve">Dr </w:t>
      </w:r>
      <w:r w:rsidR="00320C27" w:rsidRPr="1CD91D82">
        <w:rPr>
          <w:rFonts w:eastAsiaTheme="minorEastAsia"/>
        </w:rPr>
        <w:t xml:space="preserve">Remy </w:t>
      </w:r>
      <w:proofErr w:type="spellStart"/>
      <w:r w:rsidR="00320C27" w:rsidRPr="1CD91D82">
        <w:rPr>
          <w:rFonts w:eastAsiaTheme="minorEastAsia"/>
        </w:rPr>
        <w:t>Ambuhl</w:t>
      </w:r>
      <w:proofErr w:type="spellEnd"/>
      <w:r w:rsidR="00320C27" w:rsidRPr="1CD91D82">
        <w:rPr>
          <w:rFonts w:eastAsiaTheme="minorEastAsia"/>
        </w:rPr>
        <w:t xml:space="preserve"> (Southampton)</w:t>
      </w:r>
      <w:r w:rsidR="0569E7A0" w:rsidRPr="1CD91D82">
        <w:rPr>
          <w:rFonts w:eastAsiaTheme="minorEastAsia"/>
        </w:rPr>
        <w:t>, ‘</w:t>
      </w:r>
      <w:r w:rsidR="00320C27" w:rsidRPr="1CD91D82">
        <w:rPr>
          <w:rFonts w:eastAsiaTheme="minorEastAsia"/>
        </w:rPr>
        <w:t>Shameful and treasonable surrenders in the first half of the fifteenth century: The case of Rouen (1449) in context</w:t>
      </w:r>
      <w:r w:rsidR="11B39EA6" w:rsidRPr="1CD91D82">
        <w:rPr>
          <w:rFonts w:eastAsiaTheme="minorEastAsia"/>
        </w:rPr>
        <w:t>’</w:t>
      </w:r>
    </w:p>
    <w:p w14:paraId="300FDDA7" w14:textId="61136C17" w:rsidR="00320C27" w:rsidRDefault="00320C27" w:rsidP="1C79AD7C">
      <w:pPr>
        <w:spacing w:after="0" w:line="240" w:lineRule="auto"/>
        <w:rPr>
          <w:rFonts w:eastAsiaTheme="minorEastAsia"/>
        </w:rPr>
      </w:pPr>
    </w:p>
    <w:p w14:paraId="55CD5BFF" w14:textId="09993784" w:rsidR="00F57E3C" w:rsidRPr="005A1600" w:rsidRDefault="005A1600" w:rsidP="1CD91D82">
      <w:pPr>
        <w:spacing w:after="0" w:line="240" w:lineRule="auto"/>
        <w:rPr>
          <w:rFonts w:eastAsiaTheme="minorEastAsia"/>
        </w:rPr>
      </w:pPr>
      <w:r w:rsidRPr="005A1600">
        <w:rPr>
          <w:rFonts w:eastAsiaTheme="minorEastAsia"/>
        </w:rPr>
        <w:t>19.00 Dinner</w:t>
      </w:r>
    </w:p>
    <w:p w14:paraId="7666DEE6" w14:textId="77777777" w:rsidR="005A1600" w:rsidRPr="005A1600" w:rsidRDefault="005A1600" w:rsidP="1CD91D82">
      <w:pPr>
        <w:spacing w:after="0" w:line="240" w:lineRule="auto"/>
        <w:rPr>
          <w:rFonts w:eastAsiaTheme="minorEastAsia"/>
        </w:rPr>
      </w:pPr>
    </w:p>
    <w:p w14:paraId="11B3CD8A" w14:textId="1338AC44" w:rsidR="005A1600" w:rsidRPr="005A1600" w:rsidRDefault="005A1600" w:rsidP="1CD91D82">
      <w:pPr>
        <w:spacing w:after="0" w:line="240" w:lineRule="auto"/>
        <w:rPr>
          <w:rFonts w:eastAsiaTheme="minorEastAsia"/>
        </w:rPr>
      </w:pPr>
      <w:r w:rsidRPr="005A1600">
        <w:rPr>
          <w:rFonts w:eastAsiaTheme="minorEastAsia"/>
        </w:rPr>
        <w:t>20.00-22.00 Conference bar</w:t>
      </w:r>
    </w:p>
    <w:p w14:paraId="43DA831E" w14:textId="77777777" w:rsidR="005A1600" w:rsidRDefault="005A1600" w:rsidP="1CD91D82">
      <w:pPr>
        <w:spacing w:after="0" w:line="240" w:lineRule="auto"/>
        <w:rPr>
          <w:rFonts w:eastAsiaTheme="minorEastAsia"/>
          <w:b/>
          <w:bCs/>
        </w:rPr>
      </w:pPr>
    </w:p>
    <w:p w14:paraId="5E99E0C0" w14:textId="77777777" w:rsidR="00C56063" w:rsidRDefault="00C56063" w:rsidP="1CD91D82">
      <w:pPr>
        <w:spacing w:after="0" w:line="240" w:lineRule="auto"/>
        <w:rPr>
          <w:rFonts w:eastAsiaTheme="minorEastAsia"/>
          <w:b/>
          <w:bCs/>
        </w:rPr>
      </w:pPr>
    </w:p>
    <w:p w14:paraId="43DF7B02" w14:textId="5126BA7E" w:rsidR="11B39EA6" w:rsidRDefault="11B39EA6" w:rsidP="1CD91D82">
      <w:pPr>
        <w:spacing w:after="0" w:line="240" w:lineRule="auto"/>
        <w:rPr>
          <w:rFonts w:eastAsiaTheme="minorEastAsia"/>
          <w:b/>
          <w:bCs/>
        </w:rPr>
      </w:pPr>
      <w:r w:rsidRPr="1CD91D82">
        <w:rPr>
          <w:rFonts w:eastAsiaTheme="minorEastAsia"/>
          <w:b/>
          <w:bCs/>
        </w:rPr>
        <w:t>Saturday</w:t>
      </w:r>
      <w:r w:rsidR="42BE061C" w:rsidRPr="1CD91D82">
        <w:rPr>
          <w:rFonts w:eastAsiaTheme="minorEastAsia"/>
          <w:b/>
          <w:bCs/>
        </w:rPr>
        <w:t xml:space="preserve"> 2 September</w:t>
      </w:r>
    </w:p>
    <w:p w14:paraId="2FD1A059" w14:textId="77777777" w:rsidR="00C32BC4" w:rsidRPr="007055B1" w:rsidRDefault="00C32BC4" w:rsidP="1C79AD7C">
      <w:pPr>
        <w:spacing w:after="0" w:line="240" w:lineRule="auto"/>
        <w:rPr>
          <w:rFonts w:eastAsiaTheme="minorEastAsia"/>
        </w:rPr>
      </w:pPr>
    </w:p>
    <w:p w14:paraId="7D5892E3" w14:textId="56E32590" w:rsidR="42BE061C" w:rsidRDefault="42BE061C" w:rsidP="1CD91D82">
      <w:pPr>
        <w:spacing w:after="0" w:line="240" w:lineRule="auto"/>
        <w:rPr>
          <w:rFonts w:eastAsiaTheme="minorEastAsia"/>
          <w:b/>
          <w:bCs/>
        </w:rPr>
      </w:pPr>
      <w:r w:rsidRPr="1CD91D82">
        <w:rPr>
          <w:rFonts w:eastAsiaTheme="minorEastAsia"/>
          <w:b/>
          <w:bCs/>
        </w:rPr>
        <w:t>Session 8 – 9:00-10.30</w:t>
      </w:r>
    </w:p>
    <w:p w14:paraId="2EB851DE" w14:textId="7F5D4A0F" w:rsidR="00C32BC4" w:rsidRDefault="42BE061C" w:rsidP="1CD91D82">
      <w:pPr>
        <w:spacing w:after="0" w:line="240" w:lineRule="auto"/>
        <w:rPr>
          <w:rFonts w:eastAsiaTheme="minorEastAsia"/>
          <w:b/>
          <w:bCs/>
        </w:rPr>
      </w:pPr>
      <w:r w:rsidRPr="2BC7668C">
        <w:rPr>
          <w:rFonts w:eastAsiaTheme="minorEastAsia"/>
        </w:rPr>
        <w:t xml:space="preserve">Dr </w:t>
      </w:r>
      <w:r w:rsidR="00C32BC4" w:rsidRPr="2BC7668C">
        <w:rPr>
          <w:rFonts w:eastAsiaTheme="minorEastAsia"/>
        </w:rPr>
        <w:t>Hannah Skoda (Oxford)</w:t>
      </w:r>
      <w:r w:rsidR="47B39083" w:rsidRPr="2BC7668C">
        <w:rPr>
          <w:rFonts w:eastAsiaTheme="minorEastAsia"/>
        </w:rPr>
        <w:t>, ‘Student Misbehaviour in Fifteenth-Century Oxford and Paris’</w:t>
      </w:r>
    </w:p>
    <w:p w14:paraId="7F22E3ED" w14:textId="77777777" w:rsidR="00833BC6" w:rsidRDefault="00833BC6" w:rsidP="00833BC6">
      <w:pPr>
        <w:spacing w:after="0" w:line="240" w:lineRule="auto"/>
        <w:rPr>
          <w:rFonts w:eastAsiaTheme="minorEastAsia"/>
        </w:rPr>
      </w:pPr>
      <w:r w:rsidRPr="1C79AD7C">
        <w:rPr>
          <w:rFonts w:eastAsiaTheme="minorEastAsia"/>
          <w:color w:val="000000" w:themeColor="text1"/>
        </w:rPr>
        <w:t>Prof. Caroline Barron (Royal Holloway), ‘</w:t>
      </w:r>
      <w:r w:rsidRPr="1C79AD7C">
        <w:rPr>
          <w:rFonts w:eastAsiaTheme="minorEastAsia"/>
        </w:rPr>
        <w:t>The Aldermen of London in 1446’</w:t>
      </w:r>
    </w:p>
    <w:p w14:paraId="015061F5" w14:textId="5F22B3B6" w:rsidR="1CD91D82" w:rsidRDefault="1CD91D82" w:rsidP="1CD91D82">
      <w:pPr>
        <w:spacing w:after="0" w:line="240" w:lineRule="auto"/>
        <w:rPr>
          <w:rFonts w:eastAsiaTheme="minorEastAsia"/>
        </w:rPr>
      </w:pPr>
    </w:p>
    <w:p w14:paraId="359237D7" w14:textId="665D4EF6" w:rsidR="23BE140D" w:rsidRDefault="23BE140D" w:rsidP="1CD91D82">
      <w:pPr>
        <w:spacing w:after="0" w:line="240" w:lineRule="auto"/>
        <w:rPr>
          <w:rFonts w:eastAsiaTheme="minorEastAsia"/>
        </w:rPr>
      </w:pPr>
      <w:r w:rsidRPr="1CD91D82">
        <w:rPr>
          <w:rFonts w:eastAsiaTheme="minorEastAsia"/>
        </w:rPr>
        <w:t>Coffee</w:t>
      </w:r>
    </w:p>
    <w:p w14:paraId="6389F72C" w14:textId="335E353E" w:rsidR="1CD91D82" w:rsidRDefault="1CD91D82" w:rsidP="1CD91D82">
      <w:pPr>
        <w:spacing w:after="0" w:line="240" w:lineRule="auto"/>
        <w:rPr>
          <w:rFonts w:eastAsiaTheme="minorEastAsia"/>
        </w:rPr>
      </w:pPr>
    </w:p>
    <w:p w14:paraId="0FD41025" w14:textId="0B821D52" w:rsidR="12917E78" w:rsidRDefault="12917E78" w:rsidP="1CD91D82">
      <w:pPr>
        <w:spacing w:after="0" w:line="240" w:lineRule="auto"/>
        <w:rPr>
          <w:rFonts w:eastAsiaTheme="minorEastAsia"/>
          <w:b/>
          <w:bCs/>
        </w:rPr>
      </w:pPr>
      <w:r w:rsidRPr="1CD91D82">
        <w:rPr>
          <w:rFonts w:eastAsiaTheme="minorEastAsia"/>
          <w:b/>
          <w:bCs/>
        </w:rPr>
        <w:t>Session 9 – 11:00-12:30</w:t>
      </w:r>
    </w:p>
    <w:p w14:paraId="0E6FB343" w14:textId="2A6BBE08" w:rsidR="76887A0D" w:rsidRDefault="76887A0D" w:rsidP="1CD91D82">
      <w:pPr>
        <w:spacing w:after="0" w:line="240" w:lineRule="auto"/>
        <w:rPr>
          <w:rFonts w:eastAsiaTheme="minorEastAsia"/>
          <w:color w:val="000000" w:themeColor="text1"/>
        </w:rPr>
      </w:pPr>
      <w:r w:rsidRPr="1CD91D82">
        <w:rPr>
          <w:rFonts w:eastAsiaTheme="minorEastAsia"/>
        </w:rPr>
        <w:t>Catherine Gower (Nottingham Trent), ‘</w:t>
      </w:r>
      <w:r w:rsidRPr="1CD91D82">
        <w:rPr>
          <w:rFonts w:eastAsiaTheme="minorEastAsia"/>
          <w:color w:val="000000" w:themeColor="text1"/>
        </w:rPr>
        <w:t>Dual Descent: Representing Henry VI's claim to France in genealogical chronicles’</w:t>
      </w:r>
    </w:p>
    <w:p w14:paraId="58697230" w14:textId="4902D7AC" w:rsidR="00C32BC4" w:rsidRPr="007055B1" w:rsidRDefault="00C32BC4" w:rsidP="1C79AD7C">
      <w:pPr>
        <w:spacing w:after="0" w:line="240" w:lineRule="auto"/>
        <w:rPr>
          <w:rFonts w:eastAsiaTheme="minorEastAsia"/>
        </w:rPr>
      </w:pPr>
      <w:r w:rsidRPr="1CD91D82">
        <w:rPr>
          <w:rFonts w:eastAsiaTheme="minorEastAsia"/>
        </w:rPr>
        <w:t>Prof. Neil Murphy</w:t>
      </w:r>
      <w:r w:rsidR="5480BD4B" w:rsidRPr="1CD91D82">
        <w:rPr>
          <w:rFonts w:eastAsiaTheme="minorEastAsia"/>
        </w:rPr>
        <w:t xml:space="preserve"> (</w:t>
      </w:r>
      <w:r w:rsidRPr="1CD91D82">
        <w:rPr>
          <w:rFonts w:eastAsiaTheme="minorEastAsia"/>
        </w:rPr>
        <w:t>Northumbria</w:t>
      </w:r>
      <w:r w:rsidR="52B075CA" w:rsidRPr="1CD91D82">
        <w:rPr>
          <w:rFonts w:eastAsiaTheme="minorEastAsia"/>
        </w:rPr>
        <w:t xml:space="preserve">), </w:t>
      </w:r>
      <w:r w:rsidRPr="1CD91D82">
        <w:rPr>
          <w:rFonts w:eastAsiaTheme="minorEastAsia"/>
        </w:rPr>
        <w:t xml:space="preserve">‘Manifestos and the Ideology of Princely Rebellion in Fifteenth-Century France’ </w:t>
      </w:r>
    </w:p>
    <w:p w14:paraId="4455E20F" w14:textId="509FE9EE" w:rsidR="1CD91D82" w:rsidRDefault="1CD91D82" w:rsidP="1CD91D82">
      <w:pPr>
        <w:spacing w:after="0" w:line="240" w:lineRule="auto"/>
        <w:rPr>
          <w:rFonts w:eastAsiaTheme="minorEastAsia"/>
          <w:color w:val="000000" w:themeColor="text1"/>
        </w:rPr>
      </w:pPr>
    </w:p>
    <w:p w14:paraId="76C94033" w14:textId="13E2B15C" w:rsidR="63FCEACB" w:rsidRDefault="63FCEACB" w:rsidP="1CD91D82">
      <w:pPr>
        <w:spacing w:after="0" w:line="240" w:lineRule="auto"/>
        <w:rPr>
          <w:rFonts w:eastAsiaTheme="minorEastAsia"/>
          <w:b/>
          <w:bCs/>
          <w:color w:val="000000" w:themeColor="text1"/>
        </w:rPr>
      </w:pPr>
      <w:r w:rsidRPr="1CD91D82">
        <w:rPr>
          <w:rFonts w:eastAsiaTheme="minorEastAsia"/>
          <w:b/>
          <w:bCs/>
          <w:color w:val="000000" w:themeColor="text1"/>
        </w:rPr>
        <w:t>Lunch and departure</w:t>
      </w:r>
    </w:p>
    <w:p w14:paraId="01DB62C9" w14:textId="77777777" w:rsidR="00C32BC4" w:rsidRDefault="00C32BC4" w:rsidP="1CD91D82">
      <w:pPr>
        <w:spacing w:after="0" w:line="240" w:lineRule="auto"/>
        <w:rPr>
          <w:rFonts w:ascii="Times New Roman" w:eastAsia="Times New Roman" w:hAnsi="Times New Roman" w:cs="Times New Roman"/>
          <w:color w:val="000000" w:themeColor="text1"/>
          <w:sz w:val="20"/>
          <w:szCs w:val="20"/>
        </w:rPr>
      </w:pPr>
    </w:p>
    <w:p w14:paraId="2F7198F0" w14:textId="77777777" w:rsidR="00320C27" w:rsidRPr="007055B1" w:rsidRDefault="00320C27" w:rsidP="1CD91D82">
      <w:pPr>
        <w:spacing w:after="0" w:line="240" w:lineRule="auto"/>
        <w:rPr>
          <w:rFonts w:ascii="Times New Roman" w:eastAsia="Times New Roman" w:hAnsi="Times New Roman" w:cs="Times New Roman"/>
          <w:color w:val="000000" w:themeColor="text1"/>
          <w:sz w:val="20"/>
          <w:szCs w:val="20"/>
        </w:rPr>
      </w:pPr>
    </w:p>
    <w:p w14:paraId="51102211" w14:textId="682901B0" w:rsidR="00320C27" w:rsidRPr="007055B1" w:rsidRDefault="00320C27" w:rsidP="00320C27">
      <w:pPr>
        <w:pStyle w:val="ListParagraph"/>
        <w:spacing w:after="0" w:line="240" w:lineRule="auto"/>
        <w:rPr>
          <w:rFonts w:ascii="Calibri" w:eastAsia="Calibri" w:hAnsi="Calibri" w:cs="Calibri"/>
          <w:sz w:val="24"/>
          <w:szCs w:val="24"/>
        </w:rPr>
      </w:pPr>
    </w:p>
    <w:sectPr w:rsidR="00320C27" w:rsidRPr="007055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B4B53"/>
    <w:multiLevelType w:val="hybridMultilevel"/>
    <w:tmpl w:val="4C7A3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FB27FC"/>
    <w:multiLevelType w:val="hybridMultilevel"/>
    <w:tmpl w:val="60806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3751818">
    <w:abstractNumId w:val="0"/>
  </w:num>
  <w:num w:numId="2" w16cid:durableId="1926960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D51"/>
    <w:rsid w:val="0018759D"/>
    <w:rsid w:val="00302337"/>
    <w:rsid w:val="00320C27"/>
    <w:rsid w:val="003F6D36"/>
    <w:rsid w:val="00436282"/>
    <w:rsid w:val="00495F2A"/>
    <w:rsid w:val="00536751"/>
    <w:rsid w:val="005A1600"/>
    <w:rsid w:val="0066D2EE"/>
    <w:rsid w:val="007055B1"/>
    <w:rsid w:val="00833BC6"/>
    <w:rsid w:val="00882BC4"/>
    <w:rsid w:val="009E2D51"/>
    <w:rsid w:val="009E9C3F"/>
    <w:rsid w:val="00A43123"/>
    <w:rsid w:val="00B70D25"/>
    <w:rsid w:val="00BD7184"/>
    <w:rsid w:val="00C32BC4"/>
    <w:rsid w:val="00C56063"/>
    <w:rsid w:val="00E16BB5"/>
    <w:rsid w:val="00F575C2"/>
    <w:rsid w:val="00F57E3C"/>
    <w:rsid w:val="014E3934"/>
    <w:rsid w:val="02CA3D1C"/>
    <w:rsid w:val="041733B5"/>
    <w:rsid w:val="041920EB"/>
    <w:rsid w:val="0462BE2F"/>
    <w:rsid w:val="0485D9F6"/>
    <w:rsid w:val="0569E7A0"/>
    <w:rsid w:val="06CD6952"/>
    <w:rsid w:val="06D65D00"/>
    <w:rsid w:val="07E4947A"/>
    <w:rsid w:val="082BA84F"/>
    <w:rsid w:val="08DCFD45"/>
    <w:rsid w:val="0A5F30CF"/>
    <w:rsid w:val="0AC24463"/>
    <w:rsid w:val="0B28BE40"/>
    <w:rsid w:val="0BFDC6D0"/>
    <w:rsid w:val="0C2F45FC"/>
    <w:rsid w:val="0D099EE2"/>
    <w:rsid w:val="0D1D2816"/>
    <w:rsid w:val="0E160C77"/>
    <w:rsid w:val="0F3096A9"/>
    <w:rsid w:val="1055E1BA"/>
    <w:rsid w:val="11B39EA6"/>
    <w:rsid w:val="12917E78"/>
    <w:rsid w:val="12B873C9"/>
    <w:rsid w:val="140407CC"/>
    <w:rsid w:val="153356C2"/>
    <w:rsid w:val="159FAE20"/>
    <w:rsid w:val="161DBF51"/>
    <w:rsid w:val="16E2C60E"/>
    <w:rsid w:val="176184EE"/>
    <w:rsid w:val="18D778EF"/>
    <w:rsid w:val="19903344"/>
    <w:rsid w:val="1AE50598"/>
    <w:rsid w:val="1B75CCC8"/>
    <w:rsid w:val="1BCE82D9"/>
    <w:rsid w:val="1C2F226E"/>
    <w:rsid w:val="1C79AD7C"/>
    <w:rsid w:val="1CD91D82"/>
    <w:rsid w:val="1DCAF2CF"/>
    <w:rsid w:val="1E2AAD20"/>
    <w:rsid w:val="1E5E2AB8"/>
    <w:rsid w:val="1E7D9722"/>
    <w:rsid w:val="1EE3C6B9"/>
    <w:rsid w:val="1F1D7A9C"/>
    <w:rsid w:val="1F66C330"/>
    <w:rsid w:val="214105AF"/>
    <w:rsid w:val="219D148C"/>
    <w:rsid w:val="220E8B7F"/>
    <w:rsid w:val="228E602F"/>
    <w:rsid w:val="2351E175"/>
    <w:rsid w:val="23BE140D"/>
    <w:rsid w:val="24C4C11C"/>
    <w:rsid w:val="24D7FA04"/>
    <w:rsid w:val="24EDB1D6"/>
    <w:rsid w:val="24F0897C"/>
    <w:rsid w:val="2573F965"/>
    <w:rsid w:val="258CBC20"/>
    <w:rsid w:val="2623F459"/>
    <w:rsid w:val="26314525"/>
    <w:rsid w:val="271E9917"/>
    <w:rsid w:val="27A65A7B"/>
    <w:rsid w:val="284F3F2A"/>
    <w:rsid w:val="289AF68B"/>
    <w:rsid w:val="291C0173"/>
    <w:rsid w:val="2924D4B3"/>
    <w:rsid w:val="29422ADC"/>
    <w:rsid w:val="2A681AC9"/>
    <w:rsid w:val="2ADDFB3D"/>
    <w:rsid w:val="2B6407B0"/>
    <w:rsid w:val="2BBD9161"/>
    <w:rsid w:val="2BC7668C"/>
    <w:rsid w:val="2E159BFF"/>
    <w:rsid w:val="2F1BBF73"/>
    <w:rsid w:val="307244E1"/>
    <w:rsid w:val="30D75C4D"/>
    <w:rsid w:val="320D84A0"/>
    <w:rsid w:val="32536035"/>
    <w:rsid w:val="32B46473"/>
    <w:rsid w:val="32CE6355"/>
    <w:rsid w:val="338F7BDB"/>
    <w:rsid w:val="33D32FE4"/>
    <w:rsid w:val="3550FCE8"/>
    <w:rsid w:val="35AACD70"/>
    <w:rsid w:val="3645AEB5"/>
    <w:rsid w:val="37469DD1"/>
    <w:rsid w:val="375571D4"/>
    <w:rsid w:val="3771CB82"/>
    <w:rsid w:val="38064C7D"/>
    <w:rsid w:val="38419018"/>
    <w:rsid w:val="39F90288"/>
    <w:rsid w:val="3A4C1199"/>
    <w:rsid w:val="3A54C974"/>
    <w:rsid w:val="3AFC0C8D"/>
    <w:rsid w:val="3B3828E8"/>
    <w:rsid w:val="3B3C58DB"/>
    <w:rsid w:val="3C1A0EF4"/>
    <w:rsid w:val="3C558282"/>
    <w:rsid w:val="3CE1C2CB"/>
    <w:rsid w:val="3D60C8F5"/>
    <w:rsid w:val="3DB5DF55"/>
    <w:rsid w:val="3F27518F"/>
    <w:rsid w:val="3F5015B8"/>
    <w:rsid w:val="4123187E"/>
    <w:rsid w:val="41991186"/>
    <w:rsid w:val="41AD3225"/>
    <w:rsid w:val="41BE2743"/>
    <w:rsid w:val="41D12C41"/>
    <w:rsid w:val="423D5104"/>
    <w:rsid w:val="42BE061C"/>
    <w:rsid w:val="44A49C6F"/>
    <w:rsid w:val="469493C1"/>
    <w:rsid w:val="47B39083"/>
    <w:rsid w:val="4879A9DC"/>
    <w:rsid w:val="48842754"/>
    <w:rsid w:val="49AA3849"/>
    <w:rsid w:val="49B4A9A1"/>
    <w:rsid w:val="49BBB25D"/>
    <w:rsid w:val="4A848241"/>
    <w:rsid w:val="4B54B2C5"/>
    <w:rsid w:val="4C6ADF3E"/>
    <w:rsid w:val="4CC031E4"/>
    <w:rsid w:val="4D691352"/>
    <w:rsid w:val="4F2114DB"/>
    <w:rsid w:val="4F30BDAE"/>
    <w:rsid w:val="4F957DC0"/>
    <w:rsid w:val="50DF44FB"/>
    <w:rsid w:val="51C5161A"/>
    <w:rsid w:val="51D74A78"/>
    <w:rsid w:val="51DE3E77"/>
    <w:rsid w:val="521F0117"/>
    <w:rsid w:val="52B075CA"/>
    <w:rsid w:val="53524D3A"/>
    <w:rsid w:val="5480BD4B"/>
    <w:rsid w:val="5587AB3F"/>
    <w:rsid w:val="560B8706"/>
    <w:rsid w:val="56A3D1C7"/>
    <w:rsid w:val="582C4336"/>
    <w:rsid w:val="59AFC3C4"/>
    <w:rsid w:val="59B76544"/>
    <w:rsid w:val="5AC01C48"/>
    <w:rsid w:val="5B4E0E32"/>
    <w:rsid w:val="5BFC27E4"/>
    <w:rsid w:val="5C98848D"/>
    <w:rsid w:val="5D6A3DFE"/>
    <w:rsid w:val="5D9EBF18"/>
    <w:rsid w:val="5DFB8BB4"/>
    <w:rsid w:val="5F4BC70C"/>
    <w:rsid w:val="626DA884"/>
    <w:rsid w:val="62DF1451"/>
    <w:rsid w:val="636B9383"/>
    <w:rsid w:val="63FCEACB"/>
    <w:rsid w:val="6637A47C"/>
    <w:rsid w:val="66ECEEF3"/>
    <w:rsid w:val="67B28574"/>
    <w:rsid w:val="67CCC3E9"/>
    <w:rsid w:val="694E55D5"/>
    <w:rsid w:val="6950C8B4"/>
    <w:rsid w:val="69757553"/>
    <w:rsid w:val="6AFF3FD8"/>
    <w:rsid w:val="6BEFD853"/>
    <w:rsid w:val="6D186CA5"/>
    <w:rsid w:val="6D241F3C"/>
    <w:rsid w:val="6D2C85FA"/>
    <w:rsid w:val="6DC0FE90"/>
    <w:rsid w:val="6E21C6F8"/>
    <w:rsid w:val="6FE9289B"/>
    <w:rsid w:val="70132FA6"/>
    <w:rsid w:val="71495040"/>
    <w:rsid w:val="7234BABD"/>
    <w:rsid w:val="72B0D95A"/>
    <w:rsid w:val="73BBB776"/>
    <w:rsid w:val="74725014"/>
    <w:rsid w:val="75EAD64B"/>
    <w:rsid w:val="7658C7B3"/>
    <w:rsid w:val="76887A0D"/>
    <w:rsid w:val="792507BE"/>
    <w:rsid w:val="79B3ECCF"/>
    <w:rsid w:val="7A1EB384"/>
    <w:rsid w:val="7B191B03"/>
    <w:rsid w:val="7B4FD24F"/>
    <w:rsid w:val="7CDF63A0"/>
    <w:rsid w:val="7EFA6E68"/>
    <w:rsid w:val="7F5CD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22748"/>
  <w15:chartTrackingRefBased/>
  <w15:docId w15:val="{E6AED258-2B20-4BE1-9EEB-2BF8D98C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2D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9E2D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msonormal"/>
    <w:basedOn w:val="Normal"/>
    <w:rsid w:val="00E16B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705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15099">
      <w:bodyDiv w:val="1"/>
      <w:marLeft w:val="0"/>
      <w:marRight w:val="0"/>
      <w:marTop w:val="0"/>
      <w:marBottom w:val="0"/>
      <w:divBdr>
        <w:top w:val="none" w:sz="0" w:space="0" w:color="auto"/>
        <w:left w:val="none" w:sz="0" w:space="0" w:color="auto"/>
        <w:bottom w:val="none" w:sz="0" w:space="0" w:color="auto"/>
        <w:right w:val="none" w:sz="0" w:space="0" w:color="auto"/>
      </w:divBdr>
    </w:div>
    <w:div w:id="1304697804">
      <w:bodyDiv w:val="1"/>
      <w:marLeft w:val="0"/>
      <w:marRight w:val="0"/>
      <w:marTop w:val="0"/>
      <w:marBottom w:val="0"/>
      <w:divBdr>
        <w:top w:val="none" w:sz="0" w:space="0" w:color="auto"/>
        <w:left w:val="none" w:sz="0" w:space="0" w:color="auto"/>
        <w:bottom w:val="none" w:sz="0" w:space="0" w:color="auto"/>
        <w:right w:val="none" w:sz="0" w:space="0" w:color="auto"/>
      </w:divBdr>
      <w:divsChild>
        <w:div w:id="1173103374">
          <w:marLeft w:val="0"/>
          <w:marRight w:val="0"/>
          <w:marTop w:val="0"/>
          <w:marBottom w:val="0"/>
          <w:divBdr>
            <w:top w:val="none" w:sz="0" w:space="0" w:color="auto"/>
            <w:left w:val="none" w:sz="0" w:space="0" w:color="auto"/>
            <w:bottom w:val="none" w:sz="0" w:space="0" w:color="auto"/>
            <w:right w:val="none" w:sz="0" w:space="0" w:color="auto"/>
          </w:divBdr>
          <w:divsChild>
            <w:div w:id="1926378134">
              <w:marLeft w:val="0"/>
              <w:marRight w:val="0"/>
              <w:marTop w:val="0"/>
              <w:marBottom w:val="0"/>
              <w:divBdr>
                <w:top w:val="none" w:sz="0" w:space="0" w:color="auto"/>
                <w:left w:val="none" w:sz="0" w:space="0" w:color="auto"/>
                <w:bottom w:val="none" w:sz="0" w:space="0" w:color="auto"/>
                <w:right w:val="none" w:sz="0" w:space="0" w:color="auto"/>
              </w:divBdr>
            </w:div>
          </w:divsChild>
        </w:div>
        <w:div w:id="1610771245">
          <w:marLeft w:val="0"/>
          <w:marRight w:val="0"/>
          <w:marTop w:val="0"/>
          <w:marBottom w:val="0"/>
          <w:divBdr>
            <w:top w:val="none" w:sz="0" w:space="0" w:color="auto"/>
            <w:left w:val="none" w:sz="0" w:space="0" w:color="auto"/>
            <w:bottom w:val="none" w:sz="0" w:space="0" w:color="auto"/>
            <w:right w:val="none" w:sz="0" w:space="0" w:color="auto"/>
          </w:divBdr>
          <w:divsChild>
            <w:div w:id="627317768">
              <w:marLeft w:val="0"/>
              <w:marRight w:val="0"/>
              <w:marTop w:val="0"/>
              <w:marBottom w:val="0"/>
              <w:divBdr>
                <w:top w:val="none" w:sz="0" w:space="0" w:color="auto"/>
                <w:left w:val="none" w:sz="0" w:space="0" w:color="auto"/>
                <w:bottom w:val="none" w:sz="0" w:space="0" w:color="auto"/>
                <w:right w:val="none" w:sz="0" w:space="0" w:color="auto"/>
              </w:divBdr>
              <w:divsChild>
                <w:div w:id="142777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33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Ross</dc:creator>
  <cp:keywords/>
  <dc:description/>
  <cp:lastModifiedBy>James Ross</cp:lastModifiedBy>
  <cp:revision>3</cp:revision>
  <dcterms:created xsi:type="dcterms:W3CDTF">2023-08-18T06:19:00Z</dcterms:created>
  <dcterms:modified xsi:type="dcterms:W3CDTF">2023-08-18T06:19:00Z</dcterms:modified>
</cp:coreProperties>
</file>